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98" w:rsidRDefault="00000BA2" w:rsidP="00000BA2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SILABUS SEMESTER GENAP TH 201</w:t>
      </w:r>
      <w:r w:rsidR="003A6062"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A606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000BA2" w:rsidRDefault="00000BA2" w:rsidP="00000BA2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 MANAJEMEN STIE – PASAMAN SIMPANG EMPAT</w:t>
      </w:r>
    </w:p>
    <w:p w:rsidR="00000BA2" w:rsidRDefault="00000BA2" w:rsidP="00000BA2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Pasaman</w:t>
      </w:r>
      <w:proofErr w:type="spellEnd"/>
    </w:p>
    <w:p w:rsidR="00000BA2" w:rsidRDefault="00000BA2" w:rsidP="00000BA2">
      <w:pPr>
        <w:spacing w:after="0"/>
        <w:ind w:right="-720"/>
        <w:jc w:val="center"/>
        <w:rPr>
          <w:rFonts w:ascii="Times New Roman" w:hAnsi="Times New Roman" w:cs="Times New Roman"/>
          <w:sz w:val="24"/>
          <w:szCs w:val="24"/>
        </w:rPr>
      </w:pPr>
    </w:p>
    <w:p w:rsidR="00000BA2" w:rsidRDefault="00000BA2" w:rsidP="00000BA2">
      <w:pPr>
        <w:spacing w:after="0"/>
        <w:ind w:right="-1080"/>
        <w:rPr>
          <w:rFonts w:ascii="Times New Roman" w:hAnsi="Times New Roman" w:cs="Times New Roman"/>
          <w:sz w:val="24"/>
          <w:szCs w:val="24"/>
        </w:rPr>
      </w:pPr>
      <w:r w:rsidRPr="0096661B">
        <w:rPr>
          <w:rFonts w:ascii="Times New Roman" w:hAnsi="Times New Roman" w:cs="Times New Roman"/>
          <w:b/>
          <w:sz w:val="24"/>
          <w:szCs w:val="24"/>
        </w:rPr>
        <w:t xml:space="preserve">Mata </w:t>
      </w:r>
      <w:proofErr w:type="spellStart"/>
      <w:r w:rsidRPr="0096661B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  <w:r w:rsidRPr="0096661B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96661B">
        <w:rPr>
          <w:rFonts w:ascii="Times New Roman" w:hAnsi="Times New Roman" w:cs="Times New Roman"/>
          <w:b/>
          <w:sz w:val="24"/>
          <w:szCs w:val="24"/>
        </w:rPr>
        <w:t>Penganggaran</w:t>
      </w:r>
      <w:proofErr w:type="spellEnd"/>
      <w:r w:rsidRPr="009666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661B">
        <w:rPr>
          <w:rFonts w:ascii="Times New Roman" w:hAnsi="Times New Roman" w:cs="Times New Roman"/>
          <w:b/>
          <w:sz w:val="24"/>
          <w:szCs w:val="24"/>
        </w:rPr>
        <w:t>Bisnis</w:t>
      </w:r>
      <w:proofErr w:type="spellEnd"/>
      <w:r w:rsidRPr="0096661B">
        <w:rPr>
          <w:rFonts w:ascii="Times New Roman" w:hAnsi="Times New Roman" w:cs="Times New Roman"/>
          <w:b/>
          <w:sz w:val="24"/>
          <w:szCs w:val="24"/>
        </w:rPr>
        <w:tab/>
      </w:r>
      <w:r w:rsidRPr="0096661B">
        <w:rPr>
          <w:rFonts w:ascii="Times New Roman" w:hAnsi="Times New Roman" w:cs="Times New Roman"/>
          <w:b/>
          <w:sz w:val="24"/>
          <w:szCs w:val="24"/>
        </w:rPr>
        <w:tab/>
      </w:r>
      <w:r w:rsidRPr="0096661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: </w:t>
      </w:r>
      <w:proofErr w:type="spellStart"/>
      <w:r>
        <w:rPr>
          <w:rFonts w:ascii="Times New Roman" w:hAnsi="Times New Roman" w:cs="Times New Roman"/>
          <w:sz w:val="24"/>
          <w:szCs w:val="24"/>
        </w:rPr>
        <w:t>Zuhafni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proofErr w:type="gramEnd"/>
    </w:p>
    <w:p w:rsidR="00000BA2" w:rsidRDefault="00000BA2" w:rsidP="00000BA2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>) SKS</w:t>
      </w:r>
      <w:r>
        <w:rPr>
          <w:rFonts w:ascii="Times New Roman" w:hAnsi="Times New Roman" w:cs="Times New Roman"/>
          <w:sz w:val="24"/>
          <w:szCs w:val="24"/>
        </w:rPr>
        <w:tab/>
      </w:r>
      <w:r w:rsidR="00AA217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671C">
        <w:rPr>
          <w:rFonts w:ascii="Times New Roman" w:hAnsi="Times New Roman" w:cs="Times New Roman"/>
          <w:sz w:val="24"/>
          <w:szCs w:val="24"/>
        </w:rPr>
        <w:tab/>
      </w:r>
      <w:r w:rsidR="0033671C">
        <w:rPr>
          <w:rFonts w:ascii="Times New Roman" w:hAnsi="Times New Roman" w:cs="Times New Roman"/>
          <w:sz w:val="24"/>
          <w:szCs w:val="24"/>
        </w:rPr>
        <w:tab/>
      </w:r>
      <w:r w:rsidR="003367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3671C">
        <w:rPr>
          <w:rFonts w:ascii="Times New Roman" w:hAnsi="Times New Roman" w:cs="Times New Roman"/>
          <w:sz w:val="24"/>
          <w:szCs w:val="24"/>
        </w:rPr>
        <w:t>Semester :</w:t>
      </w:r>
      <w:proofErr w:type="gramEnd"/>
      <w:r w:rsidR="0033671C">
        <w:rPr>
          <w:rFonts w:ascii="Times New Roman" w:hAnsi="Times New Roman" w:cs="Times New Roman"/>
          <w:sz w:val="24"/>
          <w:szCs w:val="24"/>
        </w:rPr>
        <w:t xml:space="preserve"> V</w:t>
      </w:r>
      <w:r w:rsidR="00113CC3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33671C">
        <w:rPr>
          <w:rFonts w:ascii="Times New Roman" w:hAnsi="Times New Roman" w:cs="Times New Roman"/>
          <w:sz w:val="24"/>
          <w:szCs w:val="24"/>
        </w:rPr>
        <w:t xml:space="preserve"> (</w:t>
      </w:r>
      <w:r w:rsidR="00113CC3">
        <w:rPr>
          <w:rFonts w:ascii="Times New Roman" w:hAnsi="Times New Roman" w:cs="Times New Roman"/>
          <w:sz w:val="24"/>
          <w:szCs w:val="24"/>
          <w:lang w:val="id-ID"/>
        </w:rPr>
        <w:t>Enam</w:t>
      </w:r>
      <w:r w:rsidR="0033671C">
        <w:rPr>
          <w:rFonts w:ascii="Times New Roman" w:hAnsi="Times New Roman" w:cs="Times New Roman"/>
          <w:sz w:val="24"/>
          <w:szCs w:val="24"/>
        </w:rPr>
        <w:t>)</w:t>
      </w:r>
    </w:p>
    <w:p w:rsidR="00000BA2" w:rsidRPr="00D663EF" w:rsidRDefault="00000BA2" w:rsidP="004E7672">
      <w:pPr>
        <w:pStyle w:val="ListParagraph"/>
        <w:numPr>
          <w:ilvl w:val="0"/>
          <w:numId w:val="1"/>
        </w:numPr>
        <w:spacing w:before="120" w:after="0"/>
        <w:ind w:left="270" w:right="-720" w:hanging="27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D66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D663EF">
        <w:rPr>
          <w:rFonts w:ascii="Times New Roman" w:hAnsi="Times New Roman" w:cs="Times New Roman"/>
          <w:b/>
          <w:sz w:val="24"/>
          <w:szCs w:val="24"/>
        </w:rPr>
        <w:t>:</w:t>
      </w:r>
    </w:p>
    <w:p w:rsidR="00000BA2" w:rsidRDefault="00000BA2" w:rsidP="00000BA2">
      <w:pPr>
        <w:pStyle w:val="ListParagraph"/>
        <w:spacing w:after="0"/>
        <w:ind w:left="270"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overhead,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budget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capital budgeting,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</w:t>
      </w:r>
      <w:r w:rsidR="00864E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BA2" w:rsidRPr="00000BA2" w:rsidRDefault="00000BA2" w:rsidP="00000BA2">
      <w:pPr>
        <w:pStyle w:val="ListParagraph"/>
        <w:spacing w:before="120" w:after="0"/>
        <w:ind w:left="270" w:right="-720"/>
        <w:jc w:val="both"/>
        <w:rPr>
          <w:rFonts w:ascii="Times New Roman" w:hAnsi="Times New Roman" w:cs="Times New Roman"/>
          <w:sz w:val="8"/>
          <w:szCs w:val="8"/>
        </w:rPr>
      </w:pPr>
    </w:p>
    <w:p w:rsidR="00000BA2" w:rsidRPr="00D663EF" w:rsidRDefault="00000BA2" w:rsidP="004E7672">
      <w:pPr>
        <w:pStyle w:val="ListParagraph"/>
        <w:numPr>
          <w:ilvl w:val="0"/>
          <w:numId w:val="1"/>
        </w:numPr>
        <w:spacing w:after="0"/>
        <w:ind w:left="270" w:right="-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Deskripsi</w:t>
      </w:r>
      <w:proofErr w:type="spellEnd"/>
      <w:r w:rsidRPr="00D66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mata</w:t>
      </w:r>
      <w:proofErr w:type="spellEnd"/>
      <w:r w:rsidRPr="00D66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</w:p>
    <w:p w:rsidR="00000BA2" w:rsidRDefault="00864E8C" w:rsidP="00000BA2">
      <w:pPr>
        <w:pStyle w:val="ListParagraph"/>
        <w:spacing w:after="0"/>
        <w:ind w:left="270"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overhead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proyeksi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4E8C" w:rsidRPr="00864E8C" w:rsidRDefault="00864E8C" w:rsidP="00000BA2">
      <w:pPr>
        <w:pStyle w:val="ListParagraph"/>
        <w:spacing w:after="0"/>
        <w:ind w:left="270" w:right="-720"/>
        <w:jc w:val="both"/>
        <w:rPr>
          <w:rFonts w:ascii="Times New Roman" w:hAnsi="Times New Roman" w:cs="Times New Roman"/>
          <w:sz w:val="8"/>
          <w:szCs w:val="8"/>
        </w:rPr>
      </w:pPr>
    </w:p>
    <w:p w:rsidR="00864E8C" w:rsidRPr="00D663EF" w:rsidRDefault="00864E8C" w:rsidP="00864E8C">
      <w:pPr>
        <w:pStyle w:val="ListParagraph"/>
        <w:numPr>
          <w:ilvl w:val="0"/>
          <w:numId w:val="1"/>
        </w:numPr>
        <w:spacing w:after="0"/>
        <w:ind w:left="270" w:right="-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Sinopsis</w:t>
      </w:r>
      <w:proofErr w:type="spellEnd"/>
    </w:p>
    <w:p w:rsidR="00864E8C" w:rsidRDefault="00864E8C" w:rsidP="00864E8C">
      <w:pPr>
        <w:pStyle w:val="ListParagraph"/>
        <w:spacing w:after="0"/>
        <w:ind w:left="270" w:right="-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(budget)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industry,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dagang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(budget) yang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 xml:space="preserve"> (budget) yang </w:t>
      </w:r>
      <w:proofErr w:type="spellStart"/>
      <w:r w:rsidR="00FB5933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="00FB5933">
        <w:rPr>
          <w:rFonts w:ascii="Times New Roman" w:hAnsi="Times New Roman" w:cs="Times New Roman"/>
          <w:sz w:val="24"/>
          <w:szCs w:val="24"/>
        </w:rPr>
        <w:t>.</w:t>
      </w:r>
    </w:p>
    <w:p w:rsidR="00D663EF" w:rsidRPr="00D663EF" w:rsidRDefault="00D663EF" w:rsidP="00864E8C">
      <w:pPr>
        <w:pStyle w:val="ListParagraph"/>
        <w:spacing w:after="0"/>
        <w:ind w:left="270" w:right="-720"/>
        <w:jc w:val="both"/>
        <w:rPr>
          <w:rFonts w:ascii="Times New Roman" w:hAnsi="Times New Roman" w:cs="Times New Roman"/>
          <w:sz w:val="8"/>
          <w:szCs w:val="8"/>
        </w:rPr>
      </w:pPr>
    </w:p>
    <w:p w:rsidR="006D6437" w:rsidRPr="00D663EF" w:rsidRDefault="006D6437" w:rsidP="006D6437">
      <w:pPr>
        <w:pStyle w:val="ListParagraph"/>
        <w:numPr>
          <w:ilvl w:val="0"/>
          <w:numId w:val="1"/>
        </w:numPr>
        <w:spacing w:before="120" w:after="0"/>
        <w:ind w:left="270" w:right="-147" w:hanging="27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663EF">
        <w:rPr>
          <w:rFonts w:ascii="Times New Roman" w:eastAsia="Calibri" w:hAnsi="Times New Roman" w:cs="Times New Roman"/>
          <w:b/>
          <w:sz w:val="24"/>
          <w:szCs w:val="24"/>
        </w:rPr>
        <w:t>Nilai</w:t>
      </w:r>
      <w:proofErr w:type="spellEnd"/>
      <w:r w:rsidRPr="00D663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b/>
          <w:sz w:val="24"/>
          <w:szCs w:val="24"/>
        </w:rPr>
        <w:t>Komprehensif</w:t>
      </w:r>
      <w:proofErr w:type="spellEnd"/>
    </w:p>
    <w:p w:rsidR="006D6437" w:rsidRPr="00D663EF" w:rsidRDefault="006D6437" w:rsidP="00D663EF">
      <w:pPr>
        <w:spacing w:after="0"/>
        <w:ind w:left="540" w:right="-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663EF">
        <w:rPr>
          <w:rFonts w:ascii="Times New Roman" w:eastAsia="Calibri" w:hAnsi="Times New Roman" w:cs="Times New Roman"/>
          <w:sz w:val="24"/>
          <w:szCs w:val="24"/>
        </w:rPr>
        <w:t>Perhitungan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terdiri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unsur-unsur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absensi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tugas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mandiri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tengah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semester,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semester.</w:t>
      </w:r>
      <w:proofErr w:type="gram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Persentase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dari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masing-masing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unsur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seperti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tertera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di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663EF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D663EF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980"/>
      </w:tblGrid>
      <w:tr w:rsidR="006D6437" w:rsidRPr="00D663EF" w:rsidTr="002C7BB0">
        <w:tc>
          <w:tcPr>
            <w:tcW w:w="342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6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Unsur</w:t>
            </w:r>
            <w:proofErr w:type="spellEnd"/>
          </w:p>
        </w:tc>
        <w:tc>
          <w:tcPr>
            <w:tcW w:w="198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63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Persentase</w:t>
            </w:r>
            <w:proofErr w:type="spellEnd"/>
          </w:p>
        </w:tc>
      </w:tr>
      <w:tr w:rsidR="006D6437" w:rsidRPr="00D663EF" w:rsidTr="002C7BB0">
        <w:tc>
          <w:tcPr>
            <w:tcW w:w="3420" w:type="dxa"/>
          </w:tcPr>
          <w:p w:rsidR="006D6437" w:rsidRPr="00D663EF" w:rsidRDefault="006D6437" w:rsidP="00D663E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47" w:hanging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Absensi</w:t>
            </w:r>
            <w:proofErr w:type="spellEnd"/>
          </w:p>
          <w:p w:rsidR="006D6437" w:rsidRPr="00D663EF" w:rsidRDefault="006D6437" w:rsidP="00D663EF">
            <w:pPr>
              <w:spacing w:after="0"/>
              <w:ind w:left="252" w:right="-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(Minimal 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kehadiran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75%)</w:t>
            </w:r>
          </w:p>
        </w:tc>
        <w:tc>
          <w:tcPr>
            <w:tcW w:w="198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37" w:rsidRPr="00D663EF" w:rsidRDefault="00D663EF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D6437"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D6437" w:rsidRPr="00D663EF" w:rsidTr="002C7BB0">
        <w:tc>
          <w:tcPr>
            <w:tcW w:w="3420" w:type="dxa"/>
          </w:tcPr>
          <w:p w:rsidR="006D6437" w:rsidRPr="00D663EF" w:rsidRDefault="006D6437" w:rsidP="00D663EF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spacing w:after="0" w:line="240" w:lineRule="auto"/>
              <w:ind w:right="-147" w:hanging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71C">
              <w:rPr>
                <w:rFonts w:ascii="Times New Roman" w:eastAsia="Calibri" w:hAnsi="Times New Roman" w:cs="Times New Roman"/>
                <w:sz w:val="24"/>
                <w:szCs w:val="24"/>
              </w:rPr>
              <w:t>individu</w:t>
            </w:r>
            <w:proofErr w:type="spellEnd"/>
            <w:r w:rsidR="003367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D6437" w:rsidRPr="00D663EF" w:rsidRDefault="006D6437" w:rsidP="00D663EF">
            <w:pPr>
              <w:spacing w:after="0"/>
              <w:ind w:left="252"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Maksimal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nilai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100)</w:t>
            </w:r>
          </w:p>
        </w:tc>
        <w:tc>
          <w:tcPr>
            <w:tcW w:w="198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6D6437" w:rsidRPr="00D663EF" w:rsidTr="002C7BB0">
        <w:tc>
          <w:tcPr>
            <w:tcW w:w="3420" w:type="dxa"/>
          </w:tcPr>
          <w:p w:rsidR="006D6437" w:rsidRPr="00D663EF" w:rsidRDefault="006D6437" w:rsidP="00D663EF">
            <w:pPr>
              <w:spacing w:after="0"/>
              <w:ind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Ujian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Semester</w:t>
            </w:r>
          </w:p>
        </w:tc>
        <w:tc>
          <w:tcPr>
            <w:tcW w:w="198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663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D6437" w:rsidRPr="00D663EF" w:rsidTr="002C7BB0">
        <w:tc>
          <w:tcPr>
            <w:tcW w:w="3420" w:type="dxa"/>
          </w:tcPr>
          <w:p w:rsidR="006D6437" w:rsidRPr="00D663EF" w:rsidRDefault="006D6437" w:rsidP="00D663EF">
            <w:pPr>
              <w:spacing w:after="0"/>
              <w:ind w:right="-1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Ujian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Akhir</w:t>
            </w:r>
            <w:proofErr w:type="spellEnd"/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198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6D6437" w:rsidRPr="00D663EF" w:rsidTr="002C7BB0">
        <w:tc>
          <w:tcPr>
            <w:tcW w:w="342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980" w:type="dxa"/>
          </w:tcPr>
          <w:p w:rsidR="006D6437" w:rsidRPr="00D663EF" w:rsidRDefault="006D6437" w:rsidP="00D663EF">
            <w:pPr>
              <w:spacing w:after="0"/>
              <w:ind w:right="-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3EF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71207A" w:rsidRPr="0071207A" w:rsidRDefault="0071207A" w:rsidP="0071207A">
      <w:pPr>
        <w:spacing w:after="0"/>
        <w:ind w:right="-720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FB5933" w:rsidRPr="00D663EF" w:rsidRDefault="00FB5933" w:rsidP="00FB5933">
      <w:pPr>
        <w:pStyle w:val="ListParagraph"/>
        <w:numPr>
          <w:ilvl w:val="0"/>
          <w:numId w:val="1"/>
        </w:numPr>
        <w:spacing w:after="0"/>
        <w:ind w:left="270" w:right="-72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Garis-garis</w:t>
      </w:r>
      <w:proofErr w:type="spellEnd"/>
      <w:r w:rsidRPr="00D663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Besar</w:t>
      </w:r>
      <w:proofErr w:type="spellEnd"/>
      <w:r w:rsidRPr="00D663EF">
        <w:rPr>
          <w:rFonts w:ascii="Times New Roman" w:hAnsi="Times New Roman" w:cs="Times New Roman"/>
          <w:b/>
          <w:sz w:val="24"/>
          <w:szCs w:val="24"/>
        </w:rPr>
        <w:t xml:space="preserve"> Program </w:t>
      </w:r>
      <w:proofErr w:type="spellStart"/>
      <w:r w:rsidRPr="00D663EF">
        <w:rPr>
          <w:rFonts w:ascii="Times New Roman" w:hAnsi="Times New Roman" w:cs="Times New Roman"/>
          <w:b/>
          <w:sz w:val="24"/>
          <w:szCs w:val="24"/>
        </w:rPr>
        <w:t>Perkuliahan</w:t>
      </w:r>
      <w:proofErr w:type="spellEnd"/>
    </w:p>
    <w:tbl>
      <w:tblPr>
        <w:tblStyle w:val="TableGrid"/>
        <w:tblW w:w="10105" w:type="dxa"/>
        <w:tblInd w:w="108" w:type="dxa"/>
        <w:tblLook w:val="04A0"/>
      </w:tblPr>
      <w:tblGrid>
        <w:gridCol w:w="1080"/>
        <w:gridCol w:w="2340"/>
        <w:gridCol w:w="3690"/>
        <w:gridCol w:w="1375"/>
        <w:gridCol w:w="1620"/>
      </w:tblGrid>
      <w:tr w:rsidR="00FB5933" w:rsidTr="00FB5933">
        <w:tc>
          <w:tcPr>
            <w:tcW w:w="1080" w:type="dxa"/>
          </w:tcPr>
          <w:p w:rsidR="00FB5933" w:rsidRDefault="00FB5933" w:rsidP="00FB593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</w:p>
        </w:tc>
        <w:tc>
          <w:tcPr>
            <w:tcW w:w="2340" w:type="dxa"/>
          </w:tcPr>
          <w:p w:rsidR="00FB5933" w:rsidRDefault="00FB5933" w:rsidP="00FB5933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3690" w:type="dxa"/>
          </w:tcPr>
          <w:p w:rsidR="00FB5933" w:rsidRDefault="00FB5933" w:rsidP="00FB5933">
            <w:pPr>
              <w:ind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375" w:type="dxa"/>
          </w:tcPr>
          <w:p w:rsidR="00FB5933" w:rsidRDefault="00FB5933" w:rsidP="00FB593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620" w:type="dxa"/>
          </w:tcPr>
          <w:p w:rsidR="00FB5933" w:rsidRDefault="00FB5933" w:rsidP="00FB593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bantu</w:t>
            </w:r>
          </w:p>
        </w:tc>
      </w:tr>
      <w:tr w:rsidR="00FB5933" w:rsidTr="00FB5933">
        <w:tc>
          <w:tcPr>
            <w:tcW w:w="1080" w:type="dxa"/>
          </w:tcPr>
          <w:p w:rsidR="00FB5933" w:rsidRDefault="006D6437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40" w:type="dxa"/>
          </w:tcPr>
          <w:p w:rsidR="00FB5933" w:rsidRDefault="006D6437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FB5933" w:rsidRDefault="006D6437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75" w:type="dxa"/>
          </w:tcPr>
          <w:p w:rsidR="00FB5933" w:rsidRDefault="006D6437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0" w:type="dxa"/>
          </w:tcPr>
          <w:p w:rsidR="00FB5933" w:rsidRDefault="006D6437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6D6437" w:rsidTr="00FB5933">
        <w:tc>
          <w:tcPr>
            <w:tcW w:w="1080" w:type="dxa"/>
          </w:tcPr>
          <w:p w:rsidR="006D6437" w:rsidRDefault="006D6437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6D6437" w:rsidRDefault="006D6437" w:rsidP="006D6437">
            <w:pPr>
              <w:pStyle w:val="ListParagraph"/>
              <w:numPr>
                <w:ilvl w:val="0"/>
                <w:numId w:val="2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  <w:p w:rsidR="006D6437" w:rsidRPr="006D6437" w:rsidRDefault="006D6437" w:rsidP="006D6437">
            <w:pPr>
              <w:pStyle w:val="ListParagraph"/>
              <w:numPr>
                <w:ilvl w:val="0"/>
                <w:numId w:val="2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Penganggaran</w:t>
            </w:r>
            <w:proofErr w:type="spellEnd"/>
          </w:p>
        </w:tc>
        <w:tc>
          <w:tcPr>
            <w:tcW w:w="3690" w:type="dxa"/>
          </w:tcPr>
          <w:p w:rsidR="006D6437" w:rsidRDefault="006D6437" w:rsidP="006D6437">
            <w:pPr>
              <w:pStyle w:val="ListParagraph"/>
              <w:numPr>
                <w:ilvl w:val="0"/>
                <w:numId w:val="3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  <w:p w:rsidR="006D6437" w:rsidRDefault="006D6437" w:rsidP="006D6437">
            <w:pPr>
              <w:pStyle w:val="ListParagraph"/>
              <w:numPr>
                <w:ilvl w:val="0"/>
                <w:numId w:val="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D6437" w:rsidRDefault="006D6437" w:rsidP="006D6437">
            <w:pPr>
              <w:pStyle w:val="ListParagraph"/>
              <w:numPr>
                <w:ilvl w:val="0"/>
                <w:numId w:val="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7672" w:rsidRPr="004E7672" w:rsidRDefault="006D6437" w:rsidP="004E7672">
            <w:pPr>
              <w:pStyle w:val="ListParagraph"/>
              <w:numPr>
                <w:ilvl w:val="0"/>
                <w:numId w:val="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4E7672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4E76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E7672">
              <w:rPr>
                <w:rFonts w:ascii="Times New Roman" w:hAnsi="Times New Roman" w:cs="Times New Roman"/>
                <w:sz w:val="24"/>
                <w:szCs w:val="24"/>
              </w:rPr>
              <w:t>faktor</w:t>
            </w:r>
            <w:proofErr w:type="spellEnd"/>
            <w:r w:rsidRPr="004E76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E7672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4E7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72" w:rsidRDefault="004E7672" w:rsidP="004E767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E7672" w:rsidRDefault="004E7672" w:rsidP="004E767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E7672" w:rsidRDefault="004E7672" w:rsidP="004E767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4E7672" w:rsidRPr="004E7672" w:rsidRDefault="004E7672" w:rsidP="004E7672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75" w:type="dxa"/>
          </w:tcPr>
          <w:p w:rsidR="006D6437" w:rsidRDefault="006D6437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x 50’</w:t>
            </w:r>
          </w:p>
        </w:tc>
        <w:tc>
          <w:tcPr>
            <w:tcW w:w="1620" w:type="dxa"/>
          </w:tcPr>
          <w:p w:rsidR="006D6437" w:rsidRDefault="00F8659B" w:rsidP="00F8659B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Pr="00F8659B" w:rsidRDefault="00F8659B" w:rsidP="00F8659B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</w:tc>
      </w:tr>
      <w:tr w:rsidR="00D663EF" w:rsidTr="00FB5933">
        <w:tc>
          <w:tcPr>
            <w:tcW w:w="1080" w:type="dxa"/>
          </w:tcPr>
          <w:p w:rsidR="00D663EF" w:rsidRDefault="00D663EF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340" w:type="dxa"/>
          </w:tcPr>
          <w:p w:rsidR="00D663EF" w:rsidRDefault="00D663EF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D663EF" w:rsidRDefault="00D663EF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75" w:type="dxa"/>
          </w:tcPr>
          <w:p w:rsidR="00D663EF" w:rsidRDefault="00D663EF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0" w:type="dxa"/>
          </w:tcPr>
          <w:p w:rsidR="00D663EF" w:rsidRDefault="00D663EF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4E7672" w:rsidTr="00FB5933">
        <w:tc>
          <w:tcPr>
            <w:tcW w:w="1080" w:type="dxa"/>
            <w:vMerge w:val="restart"/>
          </w:tcPr>
          <w:p w:rsidR="004E7672" w:rsidRPr="004E7672" w:rsidRDefault="004E7672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340" w:type="dxa"/>
            <w:vMerge w:val="restart"/>
          </w:tcPr>
          <w:p w:rsidR="004E7672" w:rsidRDefault="004E7672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E7672" w:rsidRPr="004E7672" w:rsidRDefault="004E7672" w:rsidP="004E7672">
            <w:pPr>
              <w:pStyle w:val="ListParagraph"/>
              <w:ind w:left="252"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dipertimbangkan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1375" w:type="dxa"/>
          </w:tcPr>
          <w:p w:rsidR="004E7672" w:rsidRDefault="004E7672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7672" w:rsidRDefault="004E7672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672" w:rsidTr="00FB5933">
        <w:tc>
          <w:tcPr>
            <w:tcW w:w="1080" w:type="dxa"/>
            <w:vMerge/>
          </w:tcPr>
          <w:p w:rsidR="004E7672" w:rsidRPr="004E7672" w:rsidRDefault="004E7672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340" w:type="dxa"/>
            <w:vMerge/>
          </w:tcPr>
          <w:p w:rsidR="004E7672" w:rsidRPr="00D663EF" w:rsidRDefault="004E7672" w:rsidP="00D663EF">
            <w:pPr>
              <w:pStyle w:val="ListParagraph"/>
              <w:ind w:left="25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4E7672" w:rsidRPr="00625893" w:rsidRDefault="004E7672" w:rsidP="00625893">
            <w:pPr>
              <w:pStyle w:val="ListParagraph"/>
              <w:numPr>
                <w:ilvl w:val="0"/>
                <w:numId w:val="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1375" w:type="dxa"/>
          </w:tcPr>
          <w:p w:rsidR="004E7672" w:rsidRDefault="004E7672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E7672" w:rsidRDefault="004E7672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3EF" w:rsidTr="00FB5933">
        <w:tc>
          <w:tcPr>
            <w:tcW w:w="1080" w:type="dxa"/>
          </w:tcPr>
          <w:p w:rsidR="00D663EF" w:rsidRDefault="0071207A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&amp; 3</w:t>
            </w:r>
          </w:p>
        </w:tc>
        <w:tc>
          <w:tcPr>
            <w:tcW w:w="2340" w:type="dxa"/>
          </w:tcPr>
          <w:p w:rsidR="00D663EF" w:rsidRDefault="0071207A" w:rsidP="00FB593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</w:p>
        </w:tc>
        <w:tc>
          <w:tcPr>
            <w:tcW w:w="3690" w:type="dxa"/>
          </w:tcPr>
          <w:p w:rsidR="00D663EF" w:rsidRDefault="0071207A" w:rsidP="0071207A">
            <w:pPr>
              <w:pStyle w:val="ListParagraph"/>
              <w:numPr>
                <w:ilvl w:val="0"/>
                <w:numId w:val="5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</w:p>
          <w:p w:rsidR="0071207A" w:rsidRDefault="0071207A" w:rsidP="0071207A">
            <w:pPr>
              <w:pStyle w:val="ListParagraph"/>
              <w:numPr>
                <w:ilvl w:val="0"/>
                <w:numId w:val="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</w:p>
          <w:p w:rsidR="0071207A" w:rsidRDefault="0071207A" w:rsidP="0071207A">
            <w:pPr>
              <w:pStyle w:val="ListParagraph"/>
              <w:numPr>
                <w:ilvl w:val="0"/>
                <w:numId w:val="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 w:rsid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F3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F3B"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 w:rsid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F3B"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 w:rsid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F3B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F3B"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</w:p>
          <w:p w:rsidR="00450F3B" w:rsidRDefault="00450F3B" w:rsidP="0071207A">
            <w:pPr>
              <w:pStyle w:val="ListParagraph"/>
              <w:numPr>
                <w:ilvl w:val="0"/>
                <w:numId w:val="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penaksiran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(forecasting)</w:t>
            </w:r>
          </w:p>
          <w:p w:rsidR="00450F3B" w:rsidRPr="0071207A" w:rsidRDefault="00450F3B" w:rsidP="0071207A">
            <w:pPr>
              <w:pStyle w:val="ListParagraph"/>
              <w:numPr>
                <w:ilvl w:val="0"/>
                <w:numId w:val="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penjualan</w:t>
            </w:r>
            <w:proofErr w:type="spellEnd"/>
          </w:p>
        </w:tc>
        <w:tc>
          <w:tcPr>
            <w:tcW w:w="1375" w:type="dxa"/>
          </w:tcPr>
          <w:p w:rsidR="00D663EF" w:rsidRDefault="00450F3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(3x50’)</w:t>
            </w:r>
          </w:p>
        </w:tc>
        <w:tc>
          <w:tcPr>
            <w:tcW w:w="1620" w:type="dxa"/>
          </w:tcPr>
          <w:p w:rsidR="00F8659B" w:rsidRDefault="00F8659B" w:rsidP="00F8659B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Default="00F8659B" w:rsidP="00F8659B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D663EF" w:rsidRDefault="00D663EF" w:rsidP="00F8659B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9B" w:rsidTr="00FB5933">
        <w:tc>
          <w:tcPr>
            <w:tcW w:w="1080" w:type="dxa"/>
          </w:tcPr>
          <w:p w:rsidR="00F8659B" w:rsidRDefault="00F8659B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F8659B" w:rsidRDefault="00F8659B" w:rsidP="00450F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0" w:type="dxa"/>
          </w:tcPr>
          <w:p w:rsidR="00F8659B" w:rsidRDefault="00F8659B" w:rsidP="00450F3B">
            <w:pPr>
              <w:pStyle w:val="ListParagraph"/>
              <w:numPr>
                <w:ilvl w:val="0"/>
                <w:numId w:val="6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  <w:p w:rsidR="00F8659B" w:rsidRPr="00450F3B" w:rsidRDefault="00F8659B" w:rsidP="00450F3B">
            <w:pPr>
              <w:pStyle w:val="ListParagraph"/>
              <w:numPr>
                <w:ilvl w:val="0"/>
                <w:numId w:val="6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F3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roduksi</w:t>
            </w:r>
            <w:proofErr w:type="spellEnd"/>
          </w:p>
          <w:p w:rsidR="00F8659B" w:rsidRDefault="00F8659B" w:rsidP="00450F3B">
            <w:pPr>
              <w:pStyle w:val="ListParagraph"/>
              <w:numPr>
                <w:ilvl w:val="0"/>
                <w:numId w:val="6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  <w:p w:rsidR="00F8659B" w:rsidRDefault="00F8659B" w:rsidP="00450F3B">
            <w:pPr>
              <w:pStyle w:val="ListParagraph"/>
              <w:numPr>
                <w:ilvl w:val="0"/>
                <w:numId w:val="6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</w:p>
          <w:p w:rsidR="00F8659B" w:rsidRPr="00450F3B" w:rsidRDefault="00F8659B" w:rsidP="00450F3B">
            <w:pPr>
              <w:pStyle w:val="ListParagraph"/>
              <w:numPr>
                <w:ilvl w:val="0"/>
                <w:numId w:val="6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diproduksi</w:t>
            </w:r>
            <w:proofErr w:type="spellEnd"/>
          </w:p>
        </w:tc>
        <w:tc>
          <w:tcPr>
            <w:tcW w:w="1375" w:type="dxa"/>
          </w:tcPr>
          <w:p w:rsidR="00F8659B" w:rsidRDefault="00F8659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x 50’</w:t>
            </w:r>
          </w:p>
        </w:tc>
        <w:tc>
          <w:tcPr>
            <w:tcW w:w="1620" w:type="dxa"/>
          </w:tcPr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F8659B" w:rsidRDefault="00F8659B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9B" w:rsidTr="00FB5933">
        <w:tc>
          <w:tcPr>
            <w:tcW w:w="1080" w:type="dxa"/>
          </w:tcPr>
          <w:p w:rsidR="00F8659B" w:rsidRDefault="00F8659B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F8659B" w:rsidRDefault="00F8659B" w:rsidP="00450F3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</w:p>
        </w:tc>
        <w:tc>
          <w:tcPr>
            <w:tcW w:w="3690" w:type="dxa"/>
          </w:tcPr>
          <w:p w:rsidR="00F8659B" w:rsidRDefault="00F8659B" w:rsidP="008E286E">
            <w:pPr>
              <w:pStyle w:val="ListParagraph"/>
              <w:numPr>
                <w:ilvl w:val="0"/>
                <w:numId w:val="7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</w:p>
          <w:p w:rsidR="00F8659B" w:rsidRDefault="00F8659B" w:rsidP="008E286E">
            <w:pPr>
              <w:pStyle w:val="ListParagraph"/>
              <w:numPr>
                <w:ilvl w:val="0"/>
                <w:numId w:val="7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</w:p>
          <w:p w:rsidR="00F8659B" w:rsidRDefault="00F8659B" w:rsidP="008E286E">
            <w:pPr>
              <w:pStyle w:val="ListParagraph"/>
              <w:numPr>
                <w:ilvl w:val="0"/>
                <w:numId w:val="7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</w:p>
          <w:p w:rsidR="00F8659B" w:rsidRPr="008E286E" w:rsidRDefault="00F8659B" w:rsidP="008E286E">
            <w:pPr>
              <w:pStyle w:val="ListParagraph"/>
              <w:numPr>
                <w:ilvl w:val="0"/>
                <w:numId w:val="7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mentah</w:t>
            </w:r>
            <w:proofErr w:type="spellEnd"/>
          </w:p>
        </w:tc>
        <w:tc>
          <w:tcPr>
            <w:tcW w:w="1375" w:type="dxa"/>
          </w:tcPr>
          <w:p w:rsidR="00F8659B" w:rsidRDefault="00F8659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</w:tcPr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F8659B" w:rsidRDefault="00F8659B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9B" w:rsidTr="003A6062"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8659B" w:rsidRDefault="00F8659B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bottom w:val="single" w:sz="4" w:space="0" w:color="000000" w:themeColor="text1"/>
            </w:tcBorders>
          </w:tcPr>
          <w:p w:rsidR="00F8659B" w:rsidRDefault="00F8659B" w:rsidP="008E28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3690" w:type="dxa"/>
            <w:tcBorders>
              <w:bottom w:val="single" w:sz="4" w:space="0" w:color="000000" w:themeColor="text1"/>
            </w:tcBorders>
          </w:tcPr>
          <w:p w:rsidR="00F8659B" w:rsidRDefault="00F8659B" w:rsidP="008E286E">
            <w:pPr>
              <w:pStyle w:val="ListParagraph"/>
              <w:numPr>
                <w:ilvl w:val="0"/>
                <w:numId w:val="8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Pr="008E2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286E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  <w:p w:rsidR="00F8659B" w:rsidRDefault="00F8659B" w:rsidP="008E286E">
            <w:pPr>
              <w:pStyle w:val="ListParagraph"/>
              <w:numPr>
                <w:ilvl w:val="0"/>
                <w:numId w:val="8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  <w:p w:rsidR="00F8659B" w:rsidRDefault="00F8659B" w:rsidP="008E286E">
            <w:pPr>
              <w:pStyle w:val="ListParagraph"/>
              <w:numPr>
                <w:ilvl w:val="0"/>
                <w:numId w:val="8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  <w:p w:rsidR="00F8659B" w:rsidRPr="008E286E" w:rsidRDefault="00F8659B" w:rsidP="008E286E">
            <w:pPr>
              <w:pStyle w:val="ListParagraph"/>
              <w:numPr>
                <w:ilvl w:val="0"/>
                <w:numId w:val="8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tenaga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1375" w:type="dxa"/>
            <w:tcBorders>
              <w:bottom w:val="single" w:sz="4" w:space="0" w:color="000000" w:themeColor="text1"/>
            </w:tcBorders>
          </w:tcPr>
          <w:p w:rsidR="00F8659B" w:rsidRDefault="00F8659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x 50’</w:t>
            </w:r>
          </w:p>
        </w:tc>
        <w:tc>
          <w:tcPr>
            <w:tcW w:w="1620" w:type="dxa"/>
            <w:tcBorders>
              <w:bottom w:val="single" w:sz="4" w:space="0" w:color="000000" w:themeColor="text1"/>
            </w:tcBorders>
          </w:tcPr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F8659B" w:rsidRDefault="00F8659B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9B" w:rsidTr="003A6062">
        <w:tc>
          <w:tcPr>
            <w:tcW w:w="1080" w:type="dxa"/>
            <w:tcBorders>
              <w:bottom w:val="single" w:sz="4" w:space="0" w:color="auto"/>
            </w:tcBorders>
          </w:tcPr>
          <w:p w:rsidR="00F8659B" w:rsidRDefault="00F8659B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8659B" w:rsidRDefault="00F8659B" w:rsidP="008E28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adminisitrasi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F8659B" w:rsidRDefault="00F8659B" w:rsidP="00EB34DE">
            <w:pPr>
              <w:pStyle w:val="ListParagraph"/>
              <w:numPr>
                <w:ilvl w:val="0"/>
                <w:numId w:val="9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adminisitrasi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  <w:p w:rsidR="00D60D5B" w:rsidRPr="00D60D5B" w:rsidRDefault="00F8659B" w:rsidP="00D60D5B">
            <w:pPr>
              <w:pStyle w:val="ListParagraph"/>
              <w:numPr>
                <w:ilvl w:val="0"/>
                <w:numId w:val="9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BOP,</w:t>
            </w:r>
          </w:p>
          <w:p w:rsidR="00F8659B" w:rsidRPr="00D60D5B" w:rsidRDefault="00F8659B" w:rsidP="00D60D5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F8659B" w:rsidRDefault="00F8659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F8659B" w:rsidRDefault="00F8659B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62" w:rsidTr="003A6062"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062" w:rsidRDefault="003A6062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062" w:rsidRDefault="003A6062" w:rsidP="008E28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062" w:rsidRDefault="003A6062" w:rsidP="003A6062">
            <w:pPr>
              <w:pStyle w:val="ListParagraph"/>
              <w:ind w:left="25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062" w:rsidRDefault="003A6062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062" w:rsidRDefault="003A6062" w:rsidP="003A6062">
            <w:pPr>
              <w:pStyle w:val="ListParagraph"/>
              <w:ind w:left="137"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62" w:rsidTr="003A6062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6062" w:rsidRDefault="003A6062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A6062" w:rsidRDefault="003A6062" w:rsidP="008E286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A6062" w:rsidRDefault="003A6062" w:rsidP="003A6062">
            <w:pPr>
              <w:pStyle w:val="ListParagraph"/>
              <w:ind w:left="25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A6062" w:rsidRDefault="003A6062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A6062" w:rsidRDefault="003A6062" w:rsidP="003A6062">
            <w:pPr>
              <w:pStyle w:val="ListParagraph"/>
              <w:ind w:left="137"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062" w:rsidTr="003A6062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6062" w:rsidRPr="003A6062" w:rsidRDefault="003A6062" w:rsidP="006D6437">
            <w:pPr>
              <w:ind w:right="-1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3A6062" w:rsidRPr="003A6062" w:rsidRDefault="003A6062" w:rsidP="008E286E">
            <w:pPr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3A6062" w:rsidRPr="003A6062" w:rsidRDefault="003A6062" w:rsidP="003A6062">
            <w:pPr>
              <w:pStyle w:val="ListParagraph"/>
              <w:ind w:left="252"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3A6062" w:rsidRPr="003A6062" w:rsidRDefault="003A6062" w:rsidP="006D6437">
            <w:pPr>
              <w:ind w:right="-8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A6062" w:rsidRPr="003A6062" w:rsidRDefault="003A6062" w:rsidP="003A6062">
            <w:pPr>
              <w:pStyle w:val="ListParagraph"/>
              <w:ind w:left="137" w:right="-8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3A6062" w:rsidTr="003A6062"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062" w:rsidRPr="003A6062" w:rsidRDefault="003A6062" w:rsidP="006D6437">
            <w:pPr>
              <w:ind w:right="-108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062" w:rsidRPr="003A6062" w:rsidRDefault="003A6062" w:rsidP="008E286E">
            <w:pPr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062" w:rsidRPr="003A6062" w:rsidRDefault="003A6062" w:rsidP="003A6062">
            <w:pPr>
              <w:pStyle w:val="ListParagraph"/>
              <w:ind w:left="252"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062" w:rsidRPr="003A6062" w:rsidRDefault="003A6062" w:rsidP="006D6437">
            <w:pPr>
              <w:ind w:right="-83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062" w:rsidRPr="003A6062" w:rsidRDefault="003A6062" w:rsidP="003A6062">
            <w:pPr>
              <w:pStyle w:val="ListParagraph"/>
              <w:ind w:left="137" w:right="-8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8659B" w:rsidTr="003A6062">
        <w:tc>
          <w:tcPr>
            <w:tcW w:w="1080" w:type="dxa"/>
            <w:tcBorders>
              <w:top w:val="single" w:sz="4" w:space="0" w:color="auto"/>
            </w:tcBorders>
          </w:tcPr>
          <w:p w:rsidR="00F8659B" w:rsidRDefault="00F8659B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8659B" w:rsidRDefault="00F8659B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F8659B" w:rsidRDefault="00F8659B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F8659B" w:rsidRDefault="00F8659B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8659B" w:rsidRDefault="00F8659B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60D5B" w:rsidTr="003A6062"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D60D5B" w:rsidRDefault="00D60D5B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</w:tcBorders>
          </w:tcPr>
          <w:p w:rsidR="00D60D5B" w:rsidRDefault="00D60D5B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:rsidR="00D60D5B" w:rsidRDefault="00D60D5B" w:rsidP="00D60D5B">
            <w:pPr>
              <w:ind w:left="30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adminisitrasi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D60D5B" w:rsidRDefault="00D60D5B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60D5B" w:rsidRDefault="00D60D5B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D5B" w:rsidTr="00FB5933">
        <w:tc>
          <w:tcPr>
            <w:tcW w:w="1080" w:type="dxa"/>
            <w:vMerge/>
          </w:tcPr>
          <w:p w:rsidR="00D60D5B" w:rsidRDefault="00D60D5B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60D5B" w:rsidRDefault="00D60D5B" w:rsidP="00FB593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60D5B" w:rsidRDefault="00D60D5B" w:rsidP="00EB34DE">
            <w:pPr>
              <w:pStyle w:val="ListParagraph"/>
              <w:numPr>
                <w:ilvl w:val="0"/>
                <w:numId w:val="9"/>
              </w:numPr>
              <w:ind w:left="252" w:right="-108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adminisitrasi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  <w:p w:rsidR="00D60D5B" w:rsidRPr="00EB34DE" w:rsidRDefault="00D60D5B" w:rsidP="00EB34DE">
            <w:pPr>
              <w:pStyle w:val="ListParagraph"/>
              <w:numPr>
                <w:ilvl w:val="0"/>
                <w:numId w:val="9"/>
              </w:numPr>
              <w:ind w:left="252" w:right="-108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BOP,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adminisitrasi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1375" w:type="dxa"/>
          </w:tcPr>
          <w:p w:rsidR="00D60D5B" w:rsidRDefault="00D60D5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60D5B" w:rsidRDefault="00D60D5B" w:rsidP="006D6437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9B" w:rsidTr="00FB5933">
        <w:tc>
          <w:tcPr>
            <w:tcW w:w="1080" w:type="dxa"/>
          </w:tcPr>
          <w:p w:rsidR="00F8659B" w:rsidRPr="00C66220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340" w:type="dxa"/>
          </w:tcPr>
          <w:p w:rsidR="00F8659B" w:rsidRDefault="00F8659B" w:rsidP="00FB593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3690" w:type="dxa"/>
          </w:tcPr>
          <w:p w:rsidR="00F8659B" w:rsidRDefault="00F8659B" w:rsidP="00EB34DE">
            <w:pPr>
              <w:pStyle w:val="ListParagraph"/>
              <w:numPr>
                <w:ilvl w:val="0"/>
                <w:numId w:val="10"/>
              </w:numPr>
              <w:ind w:left="252" w:right="-108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</w:t>
            </w:r>
          </w:p>
          <w:p w:rsidR="00F8659B" w:rsidRDefault="00F8659B" w:rsidP="00EB34DE">
            <w:pPr>
              <w:pStyle w:val="ListParagraph"/>
              <w:numPr>
                <w:ilvl w:val="0"/>
                <w:numId w:val="10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</w:t>
            </w:r>
          </w:p>
          <w:p w:rsidR="00F8659B" w:rsidRDefault="00F8659B" w:rsidP="00EB34DE">
            <w:pPr>
              <w:pStyle w:val="ListParagraph"/>
              <w:numPr>
                <w:ilvl w:val="0"/>
                <w:numId w:val="10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</w:p>
          <w:p w:rsidR="00F8659B" w:rsidRPr="00EB34DE" w:rsidRDefault="00F8659B" w:rsidP="00EB34DE">
            <w:pPr>
              <w:pStyle w:val="ListParagraph"/>
              <w:numPr>
                <w:ilvl w:val="0"/>
                <w:numId w:val="10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</w:t>
            </w:r>
          </w:p>
        </w:tc>
        <w:tc>
          <w:tcPr>
            <w:tcW w:w="1375" w:type="dxa"/>
          </w:tcPr>
          <w:p w:rsidR="00F8659B" w:rsidRDefault="00F8659B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</w:tcPr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F8659B" w:rsidRDefault="00F8659B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F8659B" w:rsidRDefault="00F8659B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8F56ED">
        <w:tc>
          <w:tcPr>
            <w:tcW w:w="1080" w:type="dxa"/>
          </w:tcPr>
          <w:p w:rsidR="00C66220" w:rsidRPr="00C66220" w:rsidRDefault="00C66220" w:rsidP="00220B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9</w:t>
            </w:r>
          </w:p>
        </w:tc>
        <w:tc>
          <w:tcPr>
            <w:tcW w:w="6030" w:type="dxa"/>
            <w:gridSpan w:val="2"/>
          </w:tcPr>
          <w:p w:rsidR="00C66220" w:rsidRDefault="00C66220" w:rsidP="00220BC6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E1">
              <w:rPr>
                <w:rFonts w:ascii="Times New Roman" w:hAnsi="Times New Roman" w:cs="Times New Roman"/>
                <w:b/>
                <w:sz w:val="24"/>
                <w:szCs w:val="24"/>
              </w:rPr>
              <w:t>UJIAN TENGAH SEMESTER (UTS)</w:t>
            </w:r>
          </w:p>
        </w:tc>
        <w:tc>
          <w:tcPr>
            <w:tcW w:w="1375" w:type="dxa"/>
          </w:tcPr>
          <w:p w:rsidR="00C66220" w:rsidRDefault="00C66220" w:rsidP="00C6622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90’</w:t>
            </w:r>
          </w:p>
        </w:tc>
        <w:tc>
          <w:tcPr>
            <w:tcW w:w="1620" w:type="dxa"/>
          </w:tcPr>
          <w:p w:rsidR="00C66220" w:rsidRDefault="00C66220" w:rsidP="00F7663A">
            <w:pPr>
              <w:pStyle w:val="ListParagraph"/>
              <w:ind w:left="137"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FB5933">
        <w:tc>
          <w:tcPr>
            <w:tcW w:w="1080" w:type="dxa"/>
          </w:tcPr>
          <w:p w:rsidR="00C66220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C66220" w:rsidRDefault="00C66220" w:rsidP="009B5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3690" w:type="dxa"/>
          </w:tcPr>
          <w:p w:rsidR="00C66220" w:rsidRDefault="00C66220" w:rsidP="009B5501">
            <w:pPr>
              <w:pStyle w:val="ListParagraph"/>
              <w:numPr>
                <w:ilvl w:val="0"/>
                <w:numId w:val="11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  <w:p w:rsidR="00C66220" w:rsidRDefault="00C66220" w:rsidP="009B5501">
            <w:pPr>
              <w:pStyle w:val="ListParagraph"/>
              <w:numPr>
                <w:ilvl w:val="0"/>
                <w:numId w:val="11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  <w:p w:rsidR="00C66220" w:rsidRDefault="00C66220" w:rsidP="009B5501">
            <w:pPr>
              <w:pStyle w:val="ListParagraph"/>
              <w:numPr>
                <w:ilvl w:val="0"/>
                <w:numId w:val="11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  <w:p w:rsidR="00C66220" w:rsidRPr="009B5501" w:rsidRDefault="00C66220" w:rsidP="009B5501">
            <w:pPr>
              <w:pStyle w:val="ListParagraph"/>
              <w:numPr>
                <w:ilvl w:val="0"/>
                <w:numId w:val="11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persediaan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</w:p>
        </w:tc>
        <w:tc>
          <w:tcPr>
            <w:tcW w:w="1375" w:type="dxa"/>
          </w:tcPr>
          <w:p w:rsidR="00C66220" w:rsidRDefault="00C66220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</w:tcPr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C66220" w:rsidRDefault="00C66220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FB5933">
        <w:tc>
          <w:tcPr>
            <w:tcW w:w="1080" w:type="dxa"/>
          </w:tcPr>
          <w:p w:rsidR="00C66220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C66220" w:rsidRDefault="00C66220" w:rsidP="009B5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690" w:type="dxa"/>
          </w:tcPr>
          <w:p w:rsidR="00C66220" w:rsidRDefault="00C66220" w:rsidP="009B5501">
            <w:pPr>
              <w:pStyle w:val="ListParagraph"/>
              <w:numPr>
                <w:ilvl w:val="0"/>
                <w:numId w:val="12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</w:p>
          <w:p w:rsidR="00C66220" w:rsidRDefault="00C66220" w:rsidP="009B5501">
            <w:pPr>
              <w:pStyle w:val="ListParagraph"/>
              <w:numPr>
                <w:ilvl w:val="0"/>
                <w:numId w:val="12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</w:p>
          <w:p w:rsidR="00C66220" w:rsidRDefault="00C66220" w:rsidP="009B5501">
            <w:pPr>
              <w:pStyle w:val="ListParagraph"/>
              <w:numPr>
                <w:ilvl w:val="0"/>
                <w:numId w:val="12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dikumpulkan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</w:p>
          <w:p w:rsidR="00C66220" w:rsidRDefault="00C66220" w:rsidP="009B5501">
            <w:pPr>
              <w:pStyle w:val="ListParagraph"/>
              <w:numPr>
                <w:ilvl w:val="0"/>
                <w:numId w:val="12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1375" w:type="dxa"/>
          </w:tcPr>
          <w:p w:rsidR="00C66220" w:rsidRDefault="00C66220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</w:tcPr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C66220" w:rsidRDefault="00C66220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FB5933">
        <w:tc>
          <w:tcPr>
            <w:tcW w:w="1080" w:type="dxa"/>
          </w:tcPr>
          <w:p w:rsidR="00C66220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C66220" w:rsidRDefault="00C66220" w:rsidP="009B5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3690" w:type="dxa"/>
          </w:tcPr>
          <w:p w:rsidR="00C66220" w:rsidRDefault="00C66220" w:rsidP="009B5501">
            <w:pPr>
              <w:pStyle w:val="ListParagraph"/>
              <w:numPr>
                <w:ilvl w:val="0"/>
                <w:numId w:val="1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</w:p>
          <w:p w:rsidR="00C66220" w:rsidRDefault="00C66220" w:rsidP="009B5501">
            <w:pPr>
              <w:pStyle w:val="ListParagraph"/>
              <w:numPr>
                <w:ilvl w:val="0"/>
                <w:numId w:val="1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</w:p>
          <w:p w:rsidR="00C66220" w:rsidRPr="009B5501" w:rsidRDefault="00C66220" w:rsidP="009B5501">
            <w:pPr>
              <w:pStyle w:val="ListParagraph"/>
              <w:numPr>
                <w:ilvl w:val="0"/>
                <w:numId w:val="13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</w:p>
        </w:tc>
        <w:tc>
          <w:tcPr>
            <w:tcW w:w="1375" w:type="dxa"/>
          </w:tcPr>
          <w:p w:rsidR="00C66220" w:rsidRDefault="00C66220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</w:tcPr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C66220" w:rsidRDefault="00C66220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FB5933">
        <w:tc>
          <w:tcPr>
            <w:tcW w:w="1080" w:type="dxa"/>
          </w:tcPr>
          <w:p w:rsidR="00C66220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&amp; 14</w:t>
            </w:r>
          </w:p>
        </w:tc>
        <w:tc>
          <w:tcPr>
            <w:tcW w:w="2340" w:type="dxa"/>
          </w:tcPr>
          <w:p w:rsidR="00C66220" w:rsidRDefault="00C66220" w:rsidP="009B55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3690" w:type="dxa"/>
          </w:tcPr>
          <w:p w:rsidR="00C66220" w:rsidRDefault="00C66220" w:rsidP="005E4A93">
            <w:pPr>
              <w:pStyle w:val="ListParagraph"/>
              <w:numPr>
                <w:ilvl w:val="0"/>
                <w:numId w:val="14"/>
              </w:numPr>
              <w:ind w:left="252" w:right="-108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  <w:p w:rsidR="00C66220" w:rsidRDefault="00C66220" w:rsidP="00D60D5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60D5B" w:rsidRDefault="00D60D5B" w:rsidP="00D60D5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60D5B" w:rsidRDefault="00D60D5B" w:rsidP="00D60D5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D60D5B" w:rsidRPr="00D60D5B" w:rsidRDefault="00D60D5B" w:rsidP="00D60D5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375" w:type="dxa"/>
          </w:tcPr>
          <w:p w:rsidR="00C66220" w:rsidRDefault="00C66220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(3 x 50’)</w:t>
            </w:r>
          </w:p>
        </w:tc>
        <w:tc>
          <w:tcPr>
            <w:tcW w:w="1620" w:type="dxa"/>
          </w:tcPr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C66220" w:rsidRDefault="00C66220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FB5933">
        <w:tc>
          <w:tcPr>
            <w:tcW w:w="1080" w:type="dxa"/>
          </w:tcPr>
          <w:p w:rsidR="00C66220" w:rsidRDefault="00C66220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2340" w:type="dxa"/>
          </w:tcPr>
          <w:p w:rsidR="00C66220" w:rsidRDefault="00C66220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C66220" w:rsidRDefault="00C66220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75" w:type="dxa"/>
          </w:tcPr>
          <w:p w:rsidR="00C66220" w:rsidRDefault="00C66220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20" w:type="dxa"/>
          </w:tcPr>
          <w:p w:rsidR="00C66220" w:rsidRDefault="00C66220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D60D5B" w:rsidTr="00FB5933">
        <w:tc>
          <w:tcPr>
            <w:tcW w:w="1080" w:type="dxa"/>
          </w:tcPr>
          <w:p w:rsidR="00D60D5B" w:rsidRPr="00D60D5B" w:rsidRDefault="00D60D5B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13&amp;14</w:t>
            </w:r>
          </w:p>
        </w:tc>
        <w:tc>
          <w:tcPr>
            <w:tcW w:w="2340" w:type="dxa"/>
          </w:tcPr>
          <w:p w:rsidR="00D60D5B" w:rsidRDefault="00D60D5B" w:rsidP="002C7BB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60D5B" w:rsidRDefault="00D60D5B" w:rsidP="00D60D5B">
            <w:pPr>
              <w:pStyle w:val="ListParagraph"/>
              <w:numPr>
                <w:ilvl w:val="0"/>
                <w:numId w:val="14"/>
              </w:numPr>
              <w:ind w:left="252" w:right="-108" w:hanging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dagang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  <w:p w:rsidR="00D60D5B" w:rsidRPr="00D60D5B" w:rsidRDefault="00D60D5B" w:rsidP="00D60D5B">
            <w:pPr>
              <w:pStyle w:val="ListParagraph"/>
              <w:numPr>
                <w:ilvl w:val="0"/>
                <w:numId w:val="14"/>
              </w:numPr>
              <w:ind w:left="30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variable </w:t>
            </w: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dagang</w:t>
            </w:r>
            <w:proofErr w:type="spellEnd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5B">
              <w:rPr>
                <w:rFonts w:ascii="Times New Roman" w:hAnsi="Times New Roman" w:cs="Times New Roman"/>
                <w:sz w:val="24"/>
                <w:szCs w:val="24"/>
              </w:rPr>
              <w:t>jasa</w:t>
            </w:r>
            <w:proofErr w:type="spellEnd"/>
          </w:p>
          <w:p w:rsidR="00D60D5B" w:rsidRPr="00D60D5B" w:rsidRDefault="00D60D5B" w:rsidP="00D60D5B">
            <w:pPr>
              <w:pStyle w:val="ListParagraph"/>
              <w:numPr>
                <w:ilvl w:val="0"/>
                <w:numId w:val="14"/>
              </w:numPr>
              <w:ind w:left="30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375" w:type="dxa"/>
          </w:tcPr>
          <w:p w:rsidR="00D60D5B" w:rsidRDefault="00D60D5B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60D5B" w:rsidRDefault="00D60D5B" w:rsidP="002C7BB0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FB5933">
        <w:tc>
          <w:tcPr>
            <w:tcW w:w="1080" w:type="dxa"/>
          </w:tcPr>
          <w:p w:rsidR="00C66220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C66220" w:rsidRDefault="00C66220" w:rsidP="005E4A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</w:p>
        </w:tc>
        <w:tc>
          <w:tcPr>
            <w:tcW w:w="3690" w:type="dxa"/>
          </w:tcPr>
          <w:p w:rsidR="00C66220" w:rsidRDefault="00C66220" w:rsidP="005E4A93">
            <w:pPr>
              <w:pStyle w:val="ListParagraph"/>
              <w:numPr>
                <w:ilvl w:val="0"/>
                <w:numId w:val="1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</w:p>
          <w:p w:rsidR="00C66220" w:rsidRDefault="00C66220" w:rsidP="005E4A93">
            <w:pPr>
              <w:pStyle w:val="ListParagraph"/>
              <w:numPr>
                <w:ilvl w:val="0"/>
                <w:numId w:val="1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Anggaran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pemerintahan</w:t>
            </w:r>
            <w:proofErr w:type="spellEnd"/>
          </w:p>
          <w:p w:rsidR="00C66220" w:rsidRPr="005E4A93" w:rsidRDefault="00C66220" w:rsidP="005E4A93">
            <w:pPr>
              <w:pStyle w:val="ListParagraph"/>
              <w:numPr>
                <w:ilvl w:val="0"/>
                <w:numId w:val="15"/>
              </w:numPr>
              <w:ind w:left="252" w:right="-108" w:hanging="2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Kasus</w:t>
            </w:r>
            <w:proofErr w:type="spellEnd"/>
          </w:p>
        </w:tc>
        <w:tc>
          <w:tcPr>
            <w:tcW w:w="1375" w:type="dxa"/>
          </w:tcPr>
          <w:p w:rsidR="00C66220" w:rsidRDefault="00C66220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50’</w:t>
            </w:r>
          </w:p>
        </w:tc>
        <w:tc>
          <w:tcPr>
            <w:tcW w:w="1620" w:type="dxa"/>
          </w:tcPr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 board</w:t>
            </w:r>
          </w:p>
          <w:p w:rsidR="00C66220" w:rsidRDefault="00C66220" w:rsidP="002C7BB0">
            <w:pPr>
              <w:pStyle w:val="ListParagraph"/>
              <w:numPr>
                <w:ilvl w:val="0"/>
                <w:numId w:val="19"/>
              </w:numPr>
              <w:ind w:left="137" w:right="-83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focus/LCD</w:t>
            </w:r>
          </w:p>
          <w:p w:rsidR="00C66220" w:rsidRDefault="00C66220" w:rsidP="002C7BB0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20" w:rsidTr="003D7A15">
        <w:tc>
          <w:tcPr>
            <w:tcW w:w="1080" w:type="dxa"/>
          </w:tcPr>
          <w:p w:rsidR="00C66220" w:rsidRPr="00A006E1" w:rsidRDefault="00C66220" w:rsidP="006D643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30" w:type="dxa"/>
            <w:gridSpan w:val="2"/>
          </w:tcPr>
          <w:p w:rsidR="00C66220" w:rsidRPr="00A006E1" w:rsidRDefault="00C66220" w:rsidP="005E4A93">
            <w:pPr>
              <w:pStyle w:val="ListParagraph"/>
              <w:ind w:left="2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6E1">
              <w:rPr>
                <w:rFonts w:ascii="Times New Roman" w:hAnsi="Times New Roman" w:cs="Times New Roman"/>
                <w:b/>
                <w:sz w:val="24"/>
                <w:szCs w:val="24"/>
              </w:rPr>
              <w:t>UJIAN AKHIR SEMESTER (UAS)</w:t>
            </w:r>
          </w:p>
        </w:tc>
        <w:tc>
          <w:tcPr>
            <w:tcW w:w="1375" w:type="dxa"/>
          </w:tcPr>
          <w:p w:rsidR="00C66220" w:rsidRDefault="00C66220" w:rsidP="006D6437">
            <w:pPr>
              <w:ind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90’</w:t>
            </w:r>
          </w:p>
        </w:tc>
        <w:tc>
          <w:tcPr>
            <w:tcW w:w="1620" w:type="dxa"/>
          </w:tcPr>
          <w:p w:rsidR="00C66220" w:rsidRDefault="00C66220" w:rsidP="006D6437">
            <w:pPr>
              <w:ind w:right="-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933" w:rsidRPr="0033671C" w:rsidRDefault="00FB5933" w:rsidP="00FB5933">
      <w:pPr>
        <w:spacing w:after="0"/>
        <w:ind w:right="-720"/>
        <w:jc w:val="both"/>
        <w:rPr>
          <w:rFonts w:ascii="Times New Roman" w:hAnsi="Times New Roman" w:cs="Times New Roman"/>
          <w:sz w:val="8"/>
          <w:szCs w:val="8"/>
        </w:rPr>
      </w:pPr>
    </w:p>
    <w:p w:rsidR="00FB5933" w:rsidRPr="0033671C" w:rsidRDefault="005E4A93" w:rsidP="005E4A93">
      <w:pPr>
        <w:pStyle w:val="ListParagraph"/>
        <w:numPr>
          <w:ilvl w:val="0"/>
          <w:numId w:val="1"/>
        </w:numPr>
        <w:spacing w:after="0"/>
        <w:ind w:left="36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671C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</w:p>
    <w:p w:rsidR="005E4A93" w:rsidRDefault="005A32A4" w:rsidP="005A32A4">
      <w:pPr>
        <w:pStyle w:val="ListParagraph"/>
        <w:numPr>
          <w:ilvl w:val="0"/>
          <w:numId w:val="16"/>
        </w:numPr>
        <w:tabs>
          <w:tab w:val="left" w:pos="630"/>
        </w:tabs>
        <w:spacing w:after="0"/>
        <w:ind w:left="2070" w:right="-720" w:hanging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Budgeting;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Pengkoordinasian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BPFE Jogjakarta 2000</w:t>
      </w:r>
    </w:p>
    <w:p w:rsidR="005A32A4" w:rsidRDefault="005A32A4" w:rsidP="005A32A4">
      <w:pPr>
        <w:pStyle w:val="ListParagraph"/>
        <w:numPr>
          <w:ilvl w:val="0"/>
          <w:numId w:val="16"/>
        </w:numPr>
        <w:tabs>
          <w:tab w:val="left" w:pos="630"/>
        </w:tabs>
        <w:spacing w:after="0"/>
        <w:ind w:left="2070" w:right="-720" w:hanging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Nafarin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Jakarta, 2000</w:t>
      </w:r>
    </w:p>
    <w:p w:rsidR="005A32A4" w:rsidRDefault="005A32A4" w:rsidP="005A32A4">
      <w:pPr>
        <w:pStyle w:val="ListParagraph"/>
        <w:numPr>
          <w:ilvl w:val="0"/>
          <w:numId w:val="16"/>
        </w:numPr>
        <w:tabs>
          <w:tab w:val="left" w:pos="630"/>
        </w:tabs>
        <w:spacing w:after="0"/>
        <w:ind w:left="2070" w:right="-72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Shim, Jack, K and Siegel, Joel, G. Budgeting; Basic and Beyond, Prentice Hall, USA 1996</w:t>
      </w:r>
    </w:p>
    <w:p w:rsidR="005A32A4" w:rsidRDefault="005A32A4" w:rsidP="005A32A4">
      <w:pPr>
        <w:pStyle w:val="ListParagraph"/>
        <w:numPr>
          <w:ilvl w:val="0"/>
          <w:numId w:val="16"/>
        </w:numPr>
        <w:tabs>
          <w:tab w:val="left" w:pos="630"/>
        </w:tabs>
        <w:spacing w:after="0"/>
        <w:ind w:left="2070" w:right="-72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___________. Budgeting;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pengangaran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 2000</w:t>
      </w:r>
    </w:p>
    <w:p w:rsidR="005A32A4" w:rsidRDefault="005A32A4" w:rsidP="005A32A4">
      <w:pPr>
        <w:pStyle w:val="ListParagraph"/>
        <w:numPr>
          <w:ilvl w:val="0"/>
          <w:numId w:val="16"/>
        </w:numPr>
        <w:tabs>
          <w:tab w:val="left" w:pos="630"/>
        </w:tabs>
        <w:spacing w:after="0"/>
        <w:ind w:left="2070" w:right="-720" w:hanging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Welsch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Glenn, A, et al. Budgeting;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, 1995</w:t>
      </w:r>
    </w:p>
    <w:p w:rsidR="005A32A4" w:rsidRDefault="005A32A4" w:rsidP="005A32A4">
      <w:pPr>
        <w:pStyle w:val="ListParagraph"/>
        <w:numPr>
          <w:ilvl w:val="0"/>
          <w:numId w:val="16"/>
        </w:numPr>
        <w:tabs>
          <w:tab w:val="left" w:pos="630"/>
        </w:tabs>
        <w:spacing w:after="0"/>
        <w:ind w:left="2070" w:right="-720" w:hanging="1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Suhanda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>, Padang 2007</w:t>
      </w:r>
    </w:p>
    <w:p w:rsidR="0033671C" w:rsidRPr="0033671C" w:rsidRDefault="0033671C" w:rsidP="0033671C">
      <w:pPr>
        <w:pStyle w:val="ListParagraph"/>
        <w:tabs>
          <w:tab w:val="left" w:pos="630"/>
        </w:tabs>
        <w:spacing w:after="0"/>
        <w:ind w:left="2070" w:right="-720"/>
        <w:jc w:val="both"/>
        <w:rPr>
          <w:rFonts w:ascii="Times New Roman" w:hAnsi="Times New Roman" w:cs="Times New Roman"/>
          <w:sz w:val="8"/>
          <w:szCs w:val="8"/>
        </w:rPr>
      </w:pPr>
    </w:p>
    <w:p w:rsidR="0033671C" w:rsidRPr="0033671C" w:rsidRDefault="005A32A4" w:rsidP="0033671C">
      <w:pPr>
        <w:pStyle w:val="ListParagraph"/>
        <w:numPr>
          <w:ilvl w:val="0"/>
          <w:numId w:val="1"/>
        </w:numPr>
        <w:tabs>
          <w:tab w:val="left" w:pos="630"/>
        </w:tabs>
        <w:spacing w:after="0"/>
        <w:ind w:left="360" w:right="-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671C">
        <w:rPr>
          <w:rFonts w:ascii="Times New Roman" w:hAnsi="Times New Roman" w:cs="Times New Roman"/>
          <w:b/>
          <w:sz w:val="24"/>
          <w:szCs w:val="24"/>
        </w:rPr>
        <w:t>Tagihan</w:t>
      </w:r>
      <w:proofErr w:type="spellEnd"/>
      <w:r w:rsidR="0033671C" w:rsidRPr="0033671C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A32A4" w:rsidRPr="0033671C" w:rsidRDefault="005A32A4" w:rsidP="0033671C">
      <w:pPr>
        <w:pStyle w:val="ListParagraph"/>
        <w:tabs>
          <w:tab w:val="left" w:pos="630"/>
        </w:tabs>
        <w:spacing w:after="0"/>
        <w:ind w:left="360"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71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36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1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33671C">
        <w:rPr>
          <w:rFonts w:ascii="Times New Roman" w:hAnsi="Times New Roman" w:cs="Times New Roman"/>
          <w:sz w:val="24"/>
          <w:szCs w:val="24"/>
        </w:rPr>
        <w:t xml:space="preserve"> (resume </w:t>
      </w:r>
      <w:proofErr w:type="spellStart"/>
      <w:r w:rsidRPr="0033671C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3367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671C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336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1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671C">
        <w:rPr>
          <w:rFonts w:ascii="Times New Roman" w:hAnsi="Times New Roman" w:cs="Times New Roman"/>
          <w:sz w:val="24"/>
          <w:szCs w:val="24"/>
        </w:rPr>
        <w:t>:</w:t>
      </w:r>
    </w:p>
    <w:p w:rsidR="005A32A4" w:rsidRDefault="005A32A4" w:rsidP="005A32A4">
      <w:pPr>
        <w:pStyle w:val="ListParagraph"/>
        <w:numPr>
          <w:ilvl w:val="0"/>
          <w:numId w:val="18"/>
        </w:num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</w:p>
    <w:p w:rsidR="005A32A4" w:rsidRDefault="0033671C" w:rsidP="005A32A4">
      <w:pPr>
        <w:pStyle w:val="ListParagraph"/>
        <w:numPr>
          <w:ilvl w:val="0"/>
          <w:numId w:val="18"/>
        </w:num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UTS</w:t>
      </w:r>
    </w:p>
    <w:p w:rsidR="0033671C" w:rsidRDefault="0033671C" w:rsidP="005A32A4">
      <w:pPr>
        <w:pStyle w:val="ListParagraph"/>
        <w:numPr>
          <w:ilvl w:val="0"/>
          <w:numId w:val="18"/>
        </w:num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XII</w:t>
      </w:r>
    </w:p>
    <w:p w:rsidR="0033671C" w:rsidRDefault="0033671C" w:rsidP="0033671C">
      <w:pPr>
        <w:pStyle w:val="ListParagraph"/>
        <w:numPr>
          <w:ilvl w:val="0"/>
          <w:numId w:val="18"/>
        </w:num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UAS</w:t>
      </w:r>
    </w:p>
    <w:p w:rsidR="0033671C" w:rsidRDefault="0033671C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3671C" w:rsidRDefault="0033671C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III, </w:t>
      </w:r>
      <w:r w:rsidR="00FC29E2">
        <w:rPr>
          <w:rFonts w:ascii="Times New Roman" w:hAnsi="Times New Roman" w:cs="Times New Roman"/>
          <w:sz w:val="24"/>
          <w:szCs w:val="24"/>
          <w:lang w:val="id-ID"/>
        </w:rPr>
        <w:t>Feebruari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C29E2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33671C" w:rsidRDefault="0033671C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p w:rsidR="0033671C" w:rsidRDefault="0033671C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A217D" w:rsidRDefault="00AA217D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17D" w:rsidRDefault="00AA217D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17D" w:rsidRDefault="00AA217D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Zuhafni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</w:p>
    <w:p w:rsidR="00AA217D" w:rsidRDefault="00AA217D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217D" w:rsidRPr="00AA217D" w:rsidRDefault="00AA217D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3671C" w:rsidRPr="0033671C" w:rsidRDefault="0033671C" w:rsidP="0033671C">
      <w:pPr>
        <w:tabs>
          <w:tab w:val="left" w:pos="630"/>
        </w:tabs>
        <w:spacing w:after="0"/>
        <w:ind w:right="-720"/>
        <w:jc w:val="both"/>
        <w:rPr>
          <w:rFonts w:ascii="Times New Roman" w:hAnsi="Times New Roman" w:cs="Times New Roman"/>
          <w:sz w:val="24"/>
          <w:szCs w:val="24"/>
        </w:rPr>
      </w:pPr>
    </w:p>
    <w:sectPr w:rsidR="0033671C" w:rsidRPr="0033671C" w:rsidSect="004E7672">
      <w:pgSz w:w="12240" w:h="16992" w:code="9"/>
      <w:pgMar w:top="100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71E"/>
    <w:multiLevelType w:val="hybridMultilevel"/>
    <w:tmpl w:val="73B42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73BE"/>
    <w:multiLevelType w:val="hybridMultilevel"/>
    <w:tmpl w:val="B5EA55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303B5"/>
    <w:multiLevelType w:val="hybridMultilevel"/>
    <w:tmpl w:val="3DD6B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21F2"/>
    <w:multiLevelType w:val="hybridMultilevel"/>
    <w:tmpl w:val="56EE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B6329"/>
    <w:multiLevelType w:val="hybridMultilevel"/>
    <w:tmpl w:val="117886E6"/>
    <w:lvl w:ilvl="0" w:tplc="647C4B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13EB0"/>
    <w:multiLevelType w:val="hybridMultilevel"/>
    <w:tmpl w:val="350212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41F5E"/>
    <w:multiLevelType w:val="hybridMultilevel"/>
    <w:tmpl w:val="BAF01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283D"/>
    <w:multiLevelType w:val="hybridMultilevel"/>
    <w:tmpl w:val="4ECEB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627E5"/>
    <w:multiLevelType w:val="hybridMultilevel"/>
    <w:tmpl w:val="2376F0FE"/>
    <w:lvl w:ilvl="0" w:tplc="295E7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8C1B78"/>
    <w:multiLevelType w:val="hybridMultilevel"/>
    <w:tmpl w:val="DE5ABEBC"/>
    <w:lvl w:ilvl="0" w:tplc="CF06A170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4BEB3254"/>
    <w:multiLevelType w:val="hybridMultilevel"/>
    <w:tmpl w:val="40B0E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0F5A54"/>
    <w:multiLevelType w:val="hybridMultilevel"/>
    <w:tmpl w:val="8796EF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9282A"/>
    <w:multiLevelType w:val="hybridMultilevel"/>
    <w:tmpl w:val="CA7A59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05D91"/>
    <w:multiLevelType w:val="hybridMultilevel"/>
    <w:tmpl w:val="29946F52"/>
    <w:lvl w:ilvl="0" w:tplc="995865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603BF7"/>
    <w:multiLevelType w:val="hybridMultilevel"/>
    <w:tmpl w:val="8E106D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A01BB"/>
    <w:multiLevelType w:val="hybridMultilevel"/>
    <w:tmpl w:val="14101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1470A"/>
    <w:multiLevelType w:val="hybridMultilevel"/>
    <w:tmpl w:val="4372D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008F2"/>
    <w:multiLevelType w:val="hybridMultilevel"/>
    <w:tmpl w:val="162C07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B13E9"/>
    <w:multiLevelType w:val="hybridMultilevel"/>
    <w:tmpl w:val="2A1E07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8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  <w:num w:numId="13">
    <w:abstractNumId w:val="17"/>
  </w:num>
  <w:num w:numId="14">
    <w:abstractNumId w:val="1"/>
  </w:num>
  <w:num w:numId="15">
    <w:abstractNumId w:val="16"/>
  </w:num>
  <w:num w:numId="16">
    <w:abstractNumId w:val="15"/>
  </w:num>
  <w:num w:numId="17">
    <w:abstractNumId w:val="6"/>
  </w:num>
  <w:num w:numId="18">
    <w:abstractNumId w:val="1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00BA2"/>
    <w:rsid w:val="00000BA2"/>
    <w:rsid w:val="00113CC3"/>
    <w:rsid w:val="00167410"/>
    <w:rsid w:val="001B116F"/>
    <w:rsid w:val="00280998"/>
    <w:rsid w:val="0033671C"/>
    <w:rsid w:val="003A6062"/>
    <w:rsid w:val="003F0311"/>
    <w:rsid w:val="00450F3B"/>
    <w:rsid w:val="004E7672"/>
    <w:rsid w:val="0055260A"/>
    <w:rsid w:val="005A32A4"/>
    <w:rsid w:val="005E4A93"/>
    <w:rsid w:val="00625893"/>
    <w:rsid w:val="006D6437"/>
    <w:rsid w:val="0071207A"/>
    <w:rsid w:val="00864E8C"/>
    <w:rsid w:val="008E286E"/>
    <w:rsid w:val="0096661B"/>
    <w:rsid w:val="00982742"/>
    <w:rsid w:val="009A3698"/>
    <w:rsid w:val="009B5501"/>
    <w:rsid w:val="00A006E1"/>
    <w:rsid w:val="00A92560"/>
    <w:rsid w:val="00AA217D"/>
    <w:rsid w:val="00AF08F0"/>
    <w:rsid w:val="00C146C3"/>
    <w:rsid w:val="00C570F6"/>
    <w:rsid w:val="00C66220"/>
    <w:rsid w:val="00C7428B"/>
    <w:rsid w:val="00D60D5B"/>
    <w:rsid w:val="00D663EF"/>
    <w:rsid w:val="00E722B1"/>
    <w:rsid w:val="00EB34DE"/>
    <w:rsid w:val="00F7663A"/>
    <w:rsid w:val="00F8659B"/>
    <w:rsid w:val="00FB5933"/>
    <w:rsid w:val="00FC29E2"/>
    <w:rsid w:val="00FE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A2"/>
    <w:pPr>
      <w:ind w:left="720"/>
      <w:contextualSpacing/>
    </w:pPr>
  </w:style>
  <w:style w:type="table" w:styleId="TableGrid">
    <w:name w:val="Table Grid"/>
    <w:basedOn w:val="TableNormal"/>
    <w:uiPriority w:val="59"/>
    <w:rsid w:val="00FB5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570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15</cp:revision>
  <cp:lastPrinted>2016-03-03T05:00:00Z</cp:lastPrinted>
  <dcterms:created xsi:type="dcterms:W3CDTF">2015-01-15T01:43:00Z</dcterms:created>
  <dcterms:modified xsi:type="dcterms:W3CDTF">2016-04-26T03:05:00Z</dcterms:modified>
</cp:coreProperties>
</file>